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DF" w:rsidRDefault="003036DF" w:rsidP="003036DF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drawing>
          <wp:anchor distT="36576" distB="36576" distL="36576" distR="36576" simplePos="0" relativeHeight="251659264" behindDoc="0" locked="0" layoutInCell="1" allowOverlap="1" wp14:anchorId="54279A69" wp14:editId="0E5BA0B7">
            <wp:simplePos x="0" y="0"/>
            <wp:positionH relativeFrom="column">
              <wp:posOffset>-99695</wp:posOffset>
            </wp:positionH>
            <wp:positionV relativeFrom="paragraph">
              <wp:posOffset>-61595</wp:posOffset>
            </wp:positionV>
            <wp:extent cx="1943100" cy="995680"/>
            <wp:effectExtent l="0" t="0" r="0" b="0"/>
            <wp:wrapNone/>
            <wp:docPr id="2" name="Image 10" descr="j02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j0216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568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6AF7">
        <w:rPr>
          <w:noProof/>
          <w:sz w:val="16"/>
          <w:lang w:eastAsia="fr-FR"/>
        </w:rPr>
        <w:object w:dxaOrig="1440" w:dyaOrig="1440">
          <v:group id="_x0000_s1026" style="position:absolute;margin-left:-9.05pt;margin-top:-11.35pt;width:488.15pt;height:125pt;z-index:-251653120;mso-position-horizontal-relative:text;mso-position-vertical-relative:text" coordorigin="1236,482" coordsize="9763,2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36;top:2101;width:3162;height:881" strokecolor="white [3212]">
              <v:textbox style="mso-next-textbox:#_x0000_s1027">
                <w:txbxContent>
                  <w:p w:rsidR="003036DF" w:rsidRDefault="003036DF" w:rsidP="003036DF">
                    <w:pPr>
                      <w:pStyle w:val="Sansinterligne"/>
                      <w:jc w:val="center"/>
                      <w:rPr>
                        <w:sz w:val="8"/>
                      </w:rPr>
                    </w:pPr>
                    <w:r w:rsidRPr="00C000DB">
                      <w:rPr>
                        <w:rFonts w:ascii="Candara" w:hAnsi="Candara"/>
                        <w:b/>
                        <w:caps/>
                        <w:sz w:val="24"/>
                        <w:szCs w:val="27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SECRETARIAT</w:t>
                    </w:r>
                    <w:r w:rsidRPr="00F315CC">
                      <w:rPr>
                        <w:rFonts w:ascii="Candara" w:hAnsi="Candara"/>
                        <w:b/>
                        <w:caps/>
                        <w:sz w:val="100"/>
                        <w:szCs w:val="1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C000DB">
                      <w:rPr>
                        <w:rFonts w:ascii="Candara" w:hAnsi="Candara"/>
                        <w:b/>
                        <w:caps/>
                        <w:sz w:val="24"/>
                        <w:szCs w:val="27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TECHNIQUE</w:t>
                    </w:r>
                    <w:r w:rsidRPr="00C000DB">
                      <w:rPr>
                        <w:sz w:val="10"/>
                      </w:rPr>
                      <w:t xml:space="preserve"> </w:t>
                    </w:r>
                    <w:r w:rsidRPr="00EB1AF1">
                      <w:rPr>
                        <w:sz w:val="8"/>
                      </w:rPr>
                      <w:t>______________________________</w:t>
                    </w:r>
                  </w:p>
                  <w:p w:rsidR="003036DF" w:rsidRPr="00EB1AF1" w:rsidRDefault="003036DF" w:rsidP="003036DF">
                    <w:pPr>
                      <w:pStyle w:val="Sansinterligne"/>
                      <w:jc w:val="center"/>
                      <w:rPr>
                        <w:sz w:val="8"/>
                      </w:rPr>
                    </w:pPr>
                  </w:p>
                  <w:p w:rsidR="003036DF" w:rsidRPr="00C000DB" w:rsidRDefault="003036DF" w:rsidP="003036DF">
                    <w:pPr>
                      <w:pStyle w:val="Sansinterligne"/>
                      <w:jc w:val="center"/>
                      <w:rPr>
                        <w:sz w:val="13"/>
                        <w:szCs w:val="13"/>
                      </w:rPr>
                    </w:pPr>
                    <w:r w:rsidRPr="00C000DB">
                      <w:rPr>
                        <w:rFonts w:ascii="Candara" w:eastAsia="Arial Unicode MS" w:hAnsi="Candara" w:cs="Arial Unicode MS"/>
                        <w:b/>
                        <w:bCs/>
                        <w:sz w:val="13"/>
                        <w:szCs w:val="13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PERSONNE RESPONSABLE DES MARCHES PUBLICS</w:t>
                    </w:r>
                  </w:p>
                </w:txbxContent>
              </v:textbox>
            </v:shape>
            <v:group id="_x0000_s1028" style="position:absolute;left:4157;top:482;width:6842;height:1466" coordorigin="4145,766" coordsize="6842,1466">
              <v:shape id="_x0000_s1029" type="#_x0000_t202" style="position:absolute;left:4145;top:1293;width:4948;height:585" strokecolor="white [3212]">
                <v:textbox style="mso-next-textbox:#_x0000_s1029">
                  <w:txbxContent>
                    <w:p w:rsidR="003036DF" w:rsidRPr="008C729C" w:rsidRDefault="003036DF" w:rsidP="003036DF">
                      <w:pPr>
                        <w:spacing w:after="0"/>
                        <w:rPr>
                          <w:rFonts w:ascii="Kunstler Script" w:hAnsi="Kunstler Script"/>
                          <w:b/>
                          <w:sz w:val="2"/>
                          <w:szCs w:val="18"/>
                        </w:rPr>
                      </w:pPr>
                      <w:r w:rsidRPr="003420F3">
                        <w:rPr>
                          <w:rFonts w:ascii="Candara" w:hAnsi="Candara" w:cs="Calibri"/>
                          <w:i/>
                          <w:color w:val="E36C0A"/>
                          <w:sz w:val="36"/>
                          <w:szCs w:val="6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Rayons de la Transparence !</w:t>
                      </w:r>
                    </w:p>
                    <w:p w:rsidR="003036DF" w:rsidRDefault="003036DF" w:rsidP="003036DF"/>
                  </w:txbxContent>
                </v:textbox>
              </v:shape>
              <v:group id="_x0000_s1030" style="position:absolute;left:8924;top:766;width:2063;height:1466" coordorigin="8924,766" coordsize="2063,1466">
                <v:shape id="_x0000_s1031" type="#_x0000_t202" style="position:absolute;left:8924;top:766;width:2063;height:434" strokecolor="white [3212]">
                  <v:textbox style="mso-next-textbox:#_x0000_s1031">
                    <w:txbxContent>
                      <w:p w:rsidR="003036DF" w:rsidRPr="007859B8" w:rsidRDefault="003036DF" w:rsidP="003036DF">
                        <w:pPr>
                          <w:rPr>
                            <w:sz w:val="20"/>
                          </w:rPr>
                        </w:pPr>
                        <w:r w:rsidRPr="003420F3">
                          <w:rPr>
                            <w:rFonts w:ascii="Candara" w:eastAsia="Arial Unicode MS" w:hAnsi="Candara" w:cs="Arial Unicode MS"/>
                            <w:b/>
                            <w:bCs/>
                            <w:sz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REPUBLIQUE</w:t>
                        </w:r>
                        <w:r w:rsidRPr="007859B8">
                          <w:rPr>
                            <w:b/>
                            <w:bCs/>
                            <w:sz w:val="12"/>
                          </w:rPr>
                          <w:t xml:space="preserve"> </w:t>
                        </w:r>
                        <w:r w:rsidRPr="003420F3">
                          <w:rPr>
                            <w:rFonts w:ascii="Candara" w:eastAsia="Arial Unicode MS" w:hAnsi="Candara" w:cs="Arial Unicode MS"/>
                            <w:b/>
                            <w:bCs/>
                            <w:sz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TOGOLAISE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9510;top:1073;width:893;height:1159">
                  <v:imagedata r:id="rId6" o:title=""/>
                </v:shape>
              </v:group>
            </v:group>
          </v:group>
          <o:OLEObject Type="Embed" ProgID="CorelDRAW.Graphic.13" ShapeID="_x0000_s1032" DrawAspect="Content" ObjectID="_1531316159" r:id="rId7"/>
        </w:object>
      </w:r>
    </w:p>
    <w:p w:rsidR="003036DF" w:rsidRDefault="003036DF" w:rsidP="003036DF">
      <w:pPr>
        <w:pStyle w:val="Sansinterligne"/>
        <w:rPr>
          <w:noProof/>
          <w:sz w:val="16"/>
          <w:lang w:eastAsia="fr-FR"/>
        </w:rPr>
      </w:pPr>
    </w:p>
    <w:p w:rsidR="003036DF" w:rsidRDefault="003036DF" w:rsidP="003036DF">
      <w:pPr>
        <w:pStyle w:val="Sansinterligne"/>
        <w:rPr>
          <w:noProof/>
          <w:sz w:val="16"/>
          <w:lang w:eastAsia="fr-FR"/>
        </w:rPr>
      </w:pPr>
    </w:p>
    <w:p w:rsidR="003036DF" w:rsidRPr="007859B8" w:rsidRDefault="003036DF" w:rsidP="003036DF">
      <w:pPr>
        <w:pStyle w:val="Sansinterligne"/>
        <w:rPr>
          <w:noProof/>
          <w:sz w:val="20"/>
          <w:lang w:eastAsia="fr-FR"/>
        </w:rPr>
      </w:pPr>
    </w:p>
    <w:p w:rsidR="003036DF" w:rsidRPr="003E78B2" w:rsidRDefault="003036DF" w:rsidP="003036DF">
      <w:pPr>
        <w:pStyle w:val="Sansinterligne"/>
        <w:rPr>
          <w:noProof/>
          <w:sz w:val="2"/>
          <w:lang w:eastAsia="fr-FR"/>
        </w:rPr>
      </w:pPr>
    </w:p>
    <w:p w:rsidR="003036DF" w:rsidRPr="003E78B2" w:rsidRDefault="003036DF" w:rsidP="003036DF">
      <w:pPr>
        <w:spacing w:after="0"/>
        <w:ind w:left="2124" w:firstLine="286"/>
        <w:rPr>
          <w:rFonts w:ascii="Kunstler Script" w:hAnsi="Kunstler Script"/>
          <w:b/>
          <w:sz w:val="4"/>
          <w:szCs w:val="18"/>
        </w:rPr>
      </w:pPr>
      <w:r w:rsidRPr="003420F3">
        <w:rPr>
          <w:rFonts w:ascii="Candara" w:hAnsi="Candara" w:cs="Calibri"/>
          <w:i/>
          <w:color w:val="E36C0A"/>
          <w:sz w:val="40"/>
          <w:szCs w:val="6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</w:p>
    <w:p w:rsidR="003036DF" w:rsidRDefault="003036DF" w:rsidP="003036DF">
      <w:pPr>
        <w:pStyle w:val="Sansinterligne"/>
        <w:rPr>
          <w:noProof/>
          <w:sz w:val="16"/>
          <w:lang w:eastAsia="fr-FR"/>
        </w:rPr>
      </w:pPr>
    </w:p>
    <w:p w:rsidR="003036DF" w:rsidRDefault="003036DF" w:rsidP="003036DF">
      <w:pPr>
        <w:pStyle w:val="Sansinterligne"/>
        <w:rPr>
          <w:noProof/>
          <w:sz w:val="16"/>
          <w:lang w:eastAsia="fr-FR"/>
        </w:rPr>
      </w:pPr>
    </w:p>
    <w:p w:rsidR="003036DF" w:rsidRDefault="003036DF" w:rsidP="003036DF">
      <w:pPr>
        <w:pStyle w:val="Sansinterligne"/>
        <w:rPr>
          <w:sz w:val="16"/>
        </w:rPr>
      </w:pPr>
    </w:p>
    <w:p w:rsidR="003036DF" w:rsidRPr="007859B8" w:rsidRDefault="003036DF" w:rsidP="003036DF">
      <w:pPr>
        <w:pStyle w:val="Sansinterligne"/>
        <w:rPr>
          <w:sz w:val="10"/>
        </w:rPr>
      </w:pPr>
    </w:p>
    <w:p w:rsidR="003036DF" w:rsidRPr="00027BD1" w:rsidRDefault="003036DF" w:rsidP="003036DF">
      <w:pPr>
        <w:pStyle w:val="Sansinterligne"/>
        <w:rPr>
          <w:sz w:val="27"/>
          <w:szCs w:val="27"/>
        </w:rPr>
      </w:pPr>
    </w:p>
    <w:p w:rsidR="003036DF" w:rsidRPr="008C1B5D" w:rsidRDefault="003036DF" w:rsidP="003036DF">
      <w:pPr>
        <w:pStyle w:val="Sansinterligne"/>
        <w:rPr>
          <w:sz w:val="10"/>
        </w:rPr>
      </w:pPr>
    </w:p>
    <w:p w:rsidR="003036DF" w:rsidRPr="003420F3" w:rsidRDefault="003036DF" w:rsidP="003036DF">
      <w:pPr>
        <w:pStyle w:val="Sansinterligne"/>
        <w:rPr>
          <w:rFonts w:ascii="Candara" w:eastAsia="Arial Unicode MS" w:hAnsi="Candara" w:cs="Arial Unicode MS"/>
          <w:b/>
          <w:bCs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36DF" w:rsidRDefault="003036DF" w:rsidP="003036DF">
      <w:pPr>
        <w:pStyle w:val="Sansinterligne"/>
        <w:rPr>
          <w:sz w:val="24"/>
        </w:rPr>
      </w:pPr>
    </w:p>
    <w:p w:rsidR="003036DF" w:rsidRDefault="003036DF" w:rsidP="003036DF">
      <w:pPr>
        <w:pStyle w:val="Sansinterligne"/>
        <w:rPr>
          <w:sz w:val="24"/>
        </w:rPr>
      </w:pPr>
    </w:p>
    <w:p w:rsidR="003036DF" w:rsidRPr="001E2B24" w:rsidRDefault="003036DF" w:rsidP="003036DF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32"/>
          <w:szCs w:val="28"/>
        </w:rPr>
      </w:pPr>
      <w:r w:rsidRPr="001E2B24">
        <w:rPr>
          <w:rFonts w:cs="Calibri"/>
          <w:b/>
          <w:sz w:val="32"/>
          <w:szCs w:val="28"/>
        </w:rPr>
        <w:t>Appel à manifestation d’intérêt AMI N° 002/ITIE/ST/PRMP/201</w:t>
      </w:r>
      <w:r>
        <w:rPr>
          <w:rFonts w:cs="Calibri"/>
          <w:b/>
          <w:sz w:val="32"/>
          <w:szCs w:val="28"/>
        </w:rPr>
        <w:t>6</w:t>
      </w:r>
    </w:p>
    <w:p w:rsidR="003036DF" w:rsidRDefault="003036DF" w:rsidP="003036DF">
      <w:pPr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RECRUTEMENT D’UN CABINET INTERNATIONAL EN VUE DE LA </w:t>
      </w:r>
      <w:r w:rsidRPr="00C83B3C">
        <w:rPr>
          <w:rFonts w:asciiTheme="minorHAnsi" w:hAnsiTheme="minorHAnsi"/>
          <w:b/>
          <w:bCs/>
          <w:i/>
          <w:sz w:val="24"/>
          <w:szCs w:val="24"/>
        </w:rPr>
        <w:t xml:space="preserve">MISSION DE COLLECTE ET DE RECONCILIATION DES PAIEMENTS </w:t>
      </w:r>
      <w:proofErr w:type="gramStart"/>
      <w:r w:rsidRPr="00C83B3C">
        <w:rPr>
          <w:rFonts w:asciiTheme="minorHAnsi" w:hAnsiTheme="minorHAnsi"/>
          <w:b/>
          <w:bCs/>
          <w:i/>
          <w:sz w:val="24"/>
          <w:szCs w:val="24"/>
        </w:rPr>
        <w:t>EFFECTUES</w:t>
      </w:r>
      <w:proofErr w:type="gramEnd"/>
      <w:r w:rsidRPr="00C83B3C">
        <w:rPr>
          <w:rFonts w:asciiTheme="minorHAnsi" w:hAnsiTheme="minorHAnsi"/>
          <w:b/>
          <w:bCs/>
          <w:i/>
          <w:sz w:val="24"/>
          <w:szCs w:val="24"/>
        </w:rPr>
        <w:t xml:space="preserve"> PAR LES SOCIETES EXTRACTIVES A L’ETAT ET DES </w:t>
      </w:r>
      <w:r>
        <w:rPr>
          <w:rFonts w:asciiTheme="minorHAnsi" w:hAnsiTheme="minorHAnsi"/>
          <w:b/>
          <w:bCs/>
          <w:i/>
          <w:sz w:val="24"/>
          <w:szCs w:val="24"/>
        </w:rPr>
        <w:t>RECETTES PERCUES PAR L’ETAT AUPRES DESDITES SOCIETES POUR L’ANNEE 2015</w:t>
      </w:r>
    </w:p>
    <w:p w:rsidR="003036DF" w:rsidRPr="00A57FEF" w:rsidRDefault="003036DF" w:rsidP="003036DF">
      <w:pPr>
        <w:spacing w:after="0" w:line="240" w:lineRule="auto"/>
        <w:jc w:val="both"/>
        <w:rPr>
          <w:rFonts w:cs="Calibri"/>
          <w:b/>
          <w:sz w:val="20"/>
          <w:szCs w:val="28"/>
        </w:rPr>
      </w:pPr>
    </w:p>
    <w:p w:rsidR="003036DF" w:rsidRPr="00C83B3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iCs/>
          <w:sz w:val="24"/>
          <w:szCs w:val="24"/>
        </w:rPr>
        <w:t>L’Initiative pour la Transparence dans les Industries Extractives au Togo, ITIE-TOGO a sollicité des fonds de contrepartie, dans le cadre de  la mise en œuvre de son plan d’action, a</w:t>
      </w:r>
      <w:r w:rsidRPr="00C83B3C">
        <w:rPr>
          <w:rFonts w:asciiTheme="minorHAnsi" w:hAnsiTheme="minorHAnsi"/>
          <w:sz w:val="24"/>
          <w:szCs w:val="24"/>
        </w:rPr>
        <w:t xml:space="preserve">fin de financer ses activités. Elle a l’intention d’utiliser une partie de ces fonds pour effectuer des paiements au titre du marché </w:t>
      </w:r>
      <w:r w:rsidRPr="00C83B3C">
        <w:rPr>
          <w:rFonts w:asciiTheme="minorHAnsi" w:hAnsiTheme="minorHAnsi"/>
          <w:color w:val="000000"/>
          <w:sz w:val="24"/>
          <w:szCs w:val="24"/>
        </w:rPr>
        <w:t>des</w:t>
      </w:r>
      <w:r w:rsidRPr="00C83B3C">
        <w:rPr>
          <w:rFonts w:asciiTheme="minorHAnsi" w:hAnsiTheme="minorHAnsi"/>
          <w:sz w:val="24"/>
          <w:szCs w:val="24"/>
        </w:rPr>
        <w:t xml:space="preserve"> services de prestations intellectuelles relatif à la mission de collecte et de réconciliation des données de</w:t>
      </w:r>
      <w:r>
        <w:rPr>
          <w:rFonts w:asciiTheme="minorHAnsi" w:hAnsiTheme="minorHAnsi"/>
          <w:sz w:val="24"/>
          <w:szCs w:val="24"/>
        </w:rPr>
        <w:t>s</w:t>
      </w:r>
      <w:r w:rsidRPr="00C83B3C">
        <w:rPr>
          <w:rFonts w:asciiTheme="minorHAnsi" w:hAnsiTheme="minorHAnsi"/>
          <w:sz w:val="24"/>
          <w:szCs w:val="24"/>
        </w:rPr>
        <w:t xml:space="preserve"> paiements effectués par les entreprises extractives à l’Etat et des </w:t>
      </w:r>
      <w:r>
        <w:rPr>
          <w:rFonts w:asciiTheme="minorHAnsi" w:hAnsiTheme="minorHAnsi"/>
          <w:sz w:val="24"/>
          <w:szCs w:val="24"/>
        </w:rPr>
        <w:t>recettes perçues par l’Etat auprès des</w:t>
      </w:r>
      <w:r w:rsidRPr="00C83B3C">
        <w:rPr>
          <w:rFonts w:asciiTheme="minorHAnsi" w:hAnsiTheme="minorHAnsi"/>
          <w:sz w:val="24"/>
          <w:szCs w:val="24"/>
        </w:rPr>
        <w:t>dites entreprises et aussi de  collecte des informations contextuelles au cours de l’année 201</w:t>
      </w:r>
      <w:r>
        <w:rPr>
          <w:rFonts w:asciiTheme="minorHAnsi" w:hAnsiTheme="minorHAnsi"/>
          <w:sz w:val="24"/>
          <w:szCs w:val="24"/>
        </w:rPr>
        <w:t>5</w:t>
      </w:r>
      <w:r w:rsidRPr="00C83B3C">
        <w:rPr>
          <w:rFonts w:asciiTheme="minorHAnsi" w:hAnsiTheme="minorHAnsi"/>
          <w:iCs/>
          <w:sz w:val="24"/>
          <w:szCs w:val="24"/>
        </w:rPr>
        <w:t xml:space="preserve"> en vue d</w:t>
      </w:r>
      <w:r>
        <w:rPr>
          <w:rFonts w:asciiTheme="minorHAnsi" w:hAnsiTheme="minorHAnsi"/>
          <w:iCs/>
          <w:sz w:val="24"/>
          <w:szCs w:val="24"/>
        </w:rPr>
        <w:t>e l’élaboration du rapport ITIE</w:t>
      </w:r>
      <w:r w:rsidRPr="00C83B3C">
        <w:rPr>
          <w:rFonts w:asciiTheme="minorHAnsi" w:hAnsiTheme="minorHAnsi"/>
          <w:iCs/>
          <w:sz w:val="24"/>
          <w:szCs w:val="24"/>
        </w:rPr>
        <w:t xml:space="preserve"> 201</w:t>
      </w:r>
      <w:r>
        <w:rPr>
          <w:rFonts w:asciiTheme="minorHAnsi" w:hAnsiTheme="minorHAnsi"/>
          <w:iCs/>
          <w:sz w:val="24"/>
          <w:szCs w:val="24"/>
        </w:rPr>
        <w:t>5</w:t>
      </w:r>
      <w:r w:rsidRPr="00C83B3C">
        <w:rPr>
          <w:rFonts w:asciiTheme="minorHAnsi" w:hAnsiTheme="minorHAnsi"/>
          <w:iCs/>
          <w:sz w:val="24"/>
          <w:szCs w:val="24"/>
        </w:rPr>
        <w:t>.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C83B3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Les services se </w:t>
      </w:r>
      <w:r w:rsidRPr="00C83B3C">
        <w:rPr>
          <w:rFonts w:asciiTheme="minorHAnsi" w:hAnsiTheme="minorHAnsi"/>
          <w:color w:val="000000"/>
          <w:sz w:val="24"/>
          <w:szCs w:val="24"/>
        </w:rPr>
        <w:t>dérouleront</w:t>
      </w:r>
      <w:r w:rsidRPr="00C83B3C">
        <w:rPr>
          <w:rFonts w:asciiTheme="minorHAnsi" w:hAnsiTheme="minorHAnsi"/>
          <w:sz w:val="24"/>
          <w:szCs w:val="24"/>
        </w:rPr>
        <w:t xml:space="preserve"> sur une période indicative de trois mois (</w:t>
      </w:r>
      <w:r>
        <w:rPr>
          <w:rFonts w:asciiTheme="minorHAnsi" w:hAnsiTheme="minorHAnsi"/>
          <w:sz w:val="24"/>
          <w:szCs w:val="24"/>
        </w:rPr>
        <w:t>octobre</w:t>
      </w:r>
      <w:r w:rsidRPr="00C83B3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2016 </w:t>
      </w:r>
      <w:r w:rsidRPr="00C83B3C">
        <w:rPr>
          <w:rFonts w:asciiTheme="minorHAnsi" w:hAnsiTheme="minorHAnsi"/>
          <w:sz w:val="24"/>
          <w:szCs w:val="24"/>
        </w:rPr>
        <w:t xml:space="preserve">à </w:t>
      </w:r>
      <w:r>
        <w:rPr>
          <w:rFonts w:asciiTheme="minorHAnsi" w:hAnsiTheme="minorHAnsi"/>
          <w:sz w:val="24"/>
          <w:szCs w:val="24"/>
        </w:rPr>
        <w:t>janvier</w:t>
      </w:r>
      <w:r w:rsidRPr="00C83B3C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7</w:t>
      </w:r>
      <w:r w:rsidRPr="00C83B3C">
        <w:rPr>
          <w:rFonts w:asciiTheme="minorHAnsi" w:hAnsiTheme="minorHAnsi"/>
          <w:sz w:val="24"/>
          <w:szCs w:val="24"/>
        </w:rPr>
        <w:t>). La Liste des services est indiquée ci-dessous</w:t>
      </w:r>
      <w:r>
        <w:rPr>
          <w:rFonts w:asciiTheme="minorHAnsi" w:hAnsiTheme="minorHAnsi"/>
          <w:sz w:val="24"/>
          <w:szCs w:val="24"/>
        </w:rPr>
        <w:t>.</w:t>
      </w:r>
    </w:p>
    <w:p w:rsidR="003036DF" w:rsidRPr="00557E1E" w:rsidRDefault="003036DF" w:rsidP="003036DF">
      <w:pPr>
        <w:spacing w:after="0" w:line="240" w:lineRule="auto"/>
        <w:jc w:val="both"/>
        <w:rPr>
          <w:rFonts w:asciiTheme="minorHAnsi" w:hAnsiTheme="minorHAnsi"/>
          <w:sz w:val="10"/>
          <w:szCs w:val="16"/>
        </w:rPr>
      </w:pPr>
    </w:p>
    <w:p w:rsidR="003036DF" w:rsidRPr="00C83B3C" w:rsidRDefault="003036DF" w:rsidP="003036D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>L’examen des documents sur le cadre juridique et réglementaire du secteur extractif au Togo et de ceux relati</w:t>
      </w:r>
      <w:r>
        <w:rPr>
          <w:rFonts w:asciiTheme="minorHAnsi" w:hAnsiTheme="minorHAnsi"/>
          <w:sz w:val="24"/>
          <w:szCs w:val="24"/>
        </w:rPr>
        <w:t>fs aux travaux de définition de</w:t>
      </w:r>
      <w:r w:rsidRPr="00C83B3C">
        <w:rPr>
          <w:rFonts w:asciiTheme="minorHAnsi" w:hAnsiTheme="minorHAnsi"/>
          <w:sz w:val="24"/>
          <w:szCs w:val="24"/>
        </w:rPr>
        <w:t xml:space="preserve"> la délimitation du périmètre, afin de</w:t>
      </w:r>
      <w:r>
        <w:rPr>
          <w:rFonts w:asciiTheme="minorHAnsi" w:hAnsiTheme="minorHAnsi"/>
          <w:sz w:val="24"/>
          <w:szCs w:val="24"/>
        </w:rPr>
        <w:t xml:space="preserve"> convenir de la prise en compte</w:t>
      </w:r>
      <w:r w:rsidRPr="00C83B3C">
        <w:rPr>
          <w:rFonts w:asciiTheme="minorHAnsi" w:hAnsiTheme="minorHAnsi"/>
          <w:sz w:val="24"/>
          <w:szCs w:val="24"/>
        </w:rPr>
        <w:t xml:space="preserve"> des flux de revenus significatifs, de la liste des entreprises et des agences gouvernementales ainsi que des procédures d’intégration </w:t>
      </w:r>
      <w:r>
        <w:rPr>
          <w:rFonts w:asciiTheme="minorHAnsi" w:hAnsiTheme="minorHAnsi"/>
          <w:sz w:val="24"/>
          <w:szCs w:val="24"/>
        </w:rPr>
        <w:t>des informations contextuelles.</w:t>
      </w:r>
    </w:p>
    <w:p w:rsidR="003036DF" w:rsidRPr="00C83B3C" w:rsidRDefault="003036DF" w:rsidP="003036D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>La proposition d’un formulaire de déclaration au Groupe multipartite, tout en faisant des suggestions pour s’assurer de la fiabilité et de la certification des déclarations qui seront divulguées.</w:t>
      </w:r>
    </w:p>
    <w:p w:rsidR="003036DF" w:rsidRPr="00C83B3C" w:rsidRDefault="003036DF" w:rsidP="003036D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 La collecte des déclarations sur les paiements, les recettes et les informations contextuelles convenues par le groupe multipartite</w:t>
      </w:r>
      <w:r>
        <w:rPr>
          <w:rFonts w:asciiTheme="minorHAnsi" w:hAnsiTheme="minorHAnsi"/>
          <w:sz w:val="24"/>
          <w:szCs w:val="24"/>
        </w:rPr>
        <w:t>.</w:t>
      </w:r>
      <w:r w:rsidRPr="00C83B3C">
        <w:rPr>
          <w:rFonts w:asciiTheme="minorHAnsi" w:hAnsiTheme="minorHAnsi"/>
          <w:sz w:val="24"/>
          <w:szCs w:val="24"/>
        </w:rPr>
        <w:t xml:space="preserve"> </w:t>
      </w:r>
    </w:p>
    <w:p w:rsidR="003036DF" w:rsidRPr="00C83B3C" w:rsidRDefault="003036DF" w:rsidP="003036DF">
      <w:pPr>
        <w:numPr>
          <w:ilvl w:val="0"/>
          <w:numId w:val="2"/>
        </w:numPr>
        <w:spacing w:after="0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>Le rapprochement des paiements et des recettes, l’identification des écarts et l’explication</w:t>
      </w:r>
      <w:r>
        <w:rPr>
          <w:rFonts w:asciiTheme="minorHAnsi" w:hAnsiTheme="minorHAnsi"/>
          <w:sz w:val="24"/>
          <w:szCs w:val="24"/>
        </w:rPr>
        <w:t xml:space="preserve">  de ces écarts.</w:t>
      </w:r>
    </w:p>
    <w:p w:rsidR="003036DF" w:rsidRPr="00C83B3C" w:rsidRDefault="003036DF" w:rsidP="003036D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>La production d’un rapport de lancement (examen et proposition de la délimitation du périmètre de réconciliation), d’un projet de rapport de réconciliation et d’un rapport final e</w:t>
      </w:r>
      <w:r>
        <w:rPr>
          <w:rFonts w:asciiTheme="minorHAnsi" w:hAnsiTheme="minorHAnsi"/>
          <w:sz w:val="24"/>
          <w:szCs w:val="24"/>
        </w:rPr>
        <w:t>xhaustif et compréhensible.</w:t>
      </w:r>
    </w:p>
    <w:p w:rsidR="003036DF" w:rsidRDefault="003036DF" w:rsidP="003036D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>la formulation des recommandations en vue d’améliorer la gouvernance du secteur extractif tout en prenant en compt</w:t>
      </w:r>
      <w:r>
        <w:rPr>
          <w:rFonts w:asciiTheme="minorHAnsi" w:hAnsiTheme="minorHAnsi"/>
          <w:sz w:val="24"/>
          <w:szCs w:val="24"/>
        </w:rPr>
        <w:t xml:space="preserve">e le suivi des recommandations </w:t>
      </w:r>
      <w:r w:rsidRPr="00C83B3C">
        <w:rPr>
          <w:rFonts w:asciiTheme="minorHAnsi" w:hAnsiTheme="minorHAnsi"/>
          <w:sz w:val="24"/>
          <w:szCs w:val="24"/>
        </w:rPr>
        <w:t>des rapports ITIE-Togo des années précédentes.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C83B3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Les candidats intéressés sont </w:t>
      </w:r>
      <w:r w:rsidRPr="00C83B3C">
        <w:rPr>
          <w:rFonts w:asciiTheme="minorHAnsi" w:hAnsiTheme="minorHAnsi"/>
          <w:color w:val="000000"/>
          <w:sz w:val="24"/>
          <w:szCs w:val="24"/>
        </w:rPr>
        <w:t>invités</w:t>
      </w:r>
      <w:r w:rsidRPr="00C83B3C">
        <w:rPr>
          <w:rFonts w:asciiTheme="minorHAnsi" w:hAnsiTheme="minorHAnsi"/>
          <w:sz w:val="24"/>
          <w:szCs w:val="24"/>
        </w:rPr>
        <w:t xml:space="preserve"> à manifester leur intérêt pour la prestation des services décrits ci-dessus en fournissant les informations indiquant qu’ils sont qualifiés pour les exécuter.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Les candidatures </w:t>
      </w:r>
      <w:r w:rsidRPr="00C83B3C">
        <w:rPr>
          <w:rFonts w:asciiTheme="minorHAnsi" w:hAnsiTheme="minorHAnsi"/>
          <w:color w:val="000000"/>
          <w:sz w:val="24"/>
          <w:szCs w:val="24"/>
        </w:rPr>
        <w:t>seront</w:t>
      </w:r>
      <w:r w:rsidRPr="00C83B3C">
        <w:rPr>
          <w:rFonts w:asciiTheme="minorHAnsi" w:hAnsiTheme="minorHAnsi"/>
          <w:sz w:val="24"/>
          <w:szCs w:val="24"/>
        </w:rPr>
        <w:t xml:space="preserve"> évaluées sur la base des critères ci-après :</w:t>
      </w:r>
    </w:p>
    <w:p w:rsidR="003036DF" w:rsidRPr="0080330B" w:rsidRDefault="003036DF" w:rsidP="003036DF">
      <w:pPr>
        <w:pStyle w:val="Sansinterligne"/>
        <w:rPr>
          <w:sz w:val="10"/>
        </w:rPr>
      </w:pP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nature des activités du candidat et le </w:t>
      </w:r>
      <w:r w:rsidRPr="00C83B3C">
        <w:rPr>
          <w:rFonts w:asciiTheme="minorHAnsi" w:hAnsiTheme="minorHAnsi"/>
          <w:color w:val="000000"/>
          <w:sz w:val="24"/>
          <w:szCs w:val="24"/>
        </w:rPr>
        <w:t>nombre d’années d’expériences</w:t>
      </w:r>
      <w:r w:rsidRPr="00FE6B8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color w:val="000000"/>
          <w:sz w:val="24"/>
          <w:szCs w:val="24"/>
        </w:rPr>
        <w:t>(20 points)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color w:val="000000"/>
          <w:sz w:val="24"/>
          <w:szCs w:val="24"/>
        </w:rPr>
        <w:t>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qualification du candidat dans le domaine d’élaboration de rapports ITIE en général (20 points) ;</w:t>
      </w:r>
    </w:p>
    <w:p w:rsidR="003036DF" w:rsidRPr="00C83B3C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références du candidat concernant l’élaboration des rapports ITIE en Afrique francophone</w:t>
      </w:r>
      <w:r w:rsidR="00056AF7" w:rsidRPr="00056A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56AF7" w:rsidRPr="00056AF7">
        <w:rPr>
          <w:rFonts w:asciiTheme="minorHAnsi" w:hAnsiTheme="minorHAnsi"/>
          <w:sz w:val="24"/>
          <w:szCs w:val="24"/>
        </w:rPr>
        <w:t>durant les dix (10) dernières années</w:t>
      </w:r>
      <w:r>
        <w:rPr>
          <w:rFonts w:asciiTheme="minorHAnsi" w:hAnsiTheme="minorHAnsi"/>
          <w:color w:val="000000"/>
          <w:sz w:val="24"/>
          <w:szCs w:val="24"/>
        </w:rPr>
        <w:t xml:space="preserve"> (35 points) ;</w:t>
      </w:r>
    </w:p>
    <w:p w:rsidR="003036DF" w:rsidRPr="00C83B3C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références du candidat concernant l’élaboration des rapports ITIE en Afrique francophone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 conformément à la norme ITIE 2013</w:t>
      </w:r>
      <w:r w:rsidR="00056AF7" w:rsidRPr="00056A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56AF7" w:rsidRPr="00056AF7">
        <w:rPr>
          <w:rFonts w:asciiTheme="minorHAnsi" w:hAnsiTheme="minorHAnsi"/>
          <w:sz w:val="24"/>
          <w:szCs w:val="24"/>
        </w:rPr>
        <w:t>durant les dix (10) dernières années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 (5 points).</w:t>
      </w:r>
    </w:p>
    <w:p w:rsidR="003036DF" w:rsidRDefault="002714A9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organisation </w:t>
      </w:r>
      <w:r w:rsidR="003036DF">
        <w:rPr>
          <w:rFonts w:asciiTheme="minorHAnsi" w:hAnsiTheme="minorHAnsi"/>
          <w:color w:val="000000"/>
          <w:sz w:val="24"/>
          <w:szCs w:val="24"/>
        </w:rPr>
        <w:t>technique et managériale du cabinet (10 points)</w:t>
      </w:r>
    </w:p>
    <w:p w:rsidR="002714A9" w:rsidRDefault="002714A9" w:rsidP="002714A9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qualifications générales</w:t>
      </w:r>
      <w:r>
        <w:rPr>
          <w:rFonts w:asciiTheme="minorHAnsi" w:hAnsiTheme="minorHAnsi"/>
          <w:color w:val="000000"/>
          <w:sz w:val="24"/>
          <w:szCs w:val="24"/>
        </w:rPr>
        <w:t xml:space="preserve"> et</w:t>
      </w:r>
      <w:r>
        <w:rPr>
          <w:rFonts w:asciiTheme="minorHAnsi" w:hAnsiTheme="minorHAnsi"/>
          <w:color w:val="000000"/>
          <w:sz w:val="24"/>
          <w:szCs w:val="24"/>
        </w:rPr>
        <w:t xml:space="preserve"> nombre de personnel professionnel (10 points)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C83B3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C83B3C">
        <w:rPr>
          <w:rFonts w:asciiTheme="minorHAnsi" w:hAnsiTheme="minorHAnsi"/>
          <w:color w:val="000000"/>
          <w:sz w:val="24"/>
          <w:szCs w:val="24"/>
        </w:rPr>
        <w:t xml:space="preserve">Il est </w:t>
      </w:r>
      <w:r w:rsidRPr="00C83B3C">
        <w:rPr>
          <w:rFonts w:asciiTheme="minorHAnsi" w:hAnsiTheme="minorHAnsi"/>
          <w:sz w:val="24"/>
          <w:szCs w:val="24"/>
        </w:rPr>
        <w:t>demandé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 aux candidats de fournir ces informations en ne dépassant pas quinze (15) pages format A4.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Une liste restreinte de six (06) candidats au maximum présentant au mieux les aptitudes requises pour exécuter les prestations sera établie par l’Autorité contractante ; ces candidats présélectionnés seront ensuite invités à présenter leurs propositions techniques et financières et un candidat sera retenu selon la méthode </w:t>
      </w:r>
      <w:r w:rsidRPr="00C83B3C">
        <w:rPr>
          <w:rFonts w:asciiTheme="minorHAnsi" w:hAnsiTheme="minorHAnsi"/>
          <w:i/>
          <w:sz w:val="24"/>
          <w:szCs w:val="24"/>
        </w:rPr>
        <w:t xml:space="preserve">de sélection fondé sur la qualité et le coût. </w:t>
      </w:r>
    </w:p>
    <w:p w:rsidR="003036DF" w:rsidRPr="002C580F" w:rsidRDefault="003036DF" w:rsidP="003036DF">
      <w:pPr>
        <w:pStyle w:val="Sansinterligne"/>
        <w:rPr>
          <w:sz w:val="12"/>
        </w:rPr>
      </w:pPr>
    </w:p>
    <w:p w:rsidR="003036DF" w:rsidRDefault="003036DF" w:rsidP="003036DF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pièces administratives suivantes sont à fournir :</w:t>
      </w:r>
    </w:p>
    <w:p w:rsidR="003036DF" w:rsidRPr="000B2305" w:rsidRDefault="003036DF" w:rsidP="003036DF">
      <w:pPr>
        <w:pStyle w:val="Paragraphedeliste"/>
        <w:numPr>
          <w:ilvl w:val="0"/>
          <w:numId w:val="4"/>
        </w:numPr>
        <w:spacing w:after="0"/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0B2305">
        <w:rPr>
          <w:rFonts w:asciiTheme="minorHAnsi" w:hAnsiTheme="minorHAnsi"/>
          <w:b/>
          <w:sz w:val="24"/>
          <w:szCs w:val="24"/>
        </w:rPr>
        <w:t>Pour les entreprises communautaires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la carte d’opérateur économique en cours de validité ou équivalent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l’extrait du registre du commerce et de crédit mobilier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l’attestation de non faillite datant de moins de trois (3) mois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 w:rsidRPr="000B2305">
        <w:rPr>
          <w:rFonts w:asciiTheme="minorHAnsi" w:hAnsiTheme="minorHAnsi"/>
          <w:sz w:val="24"/>
          <w:szCs w:val="24"/>
        </w:rPr>
        <w:t>L’original</w:t>
      </w:r>
      <w:r>
        <w:rPr>
          <w:rFonts w:asciiTheme="minorHAnsi" w:hAnsiTheme="minorHAnsi"/>
          <w:sz w:val="24"/>
          <w:szCs w:val="24"/>
        </w:rPr>
        <w:t xml:space="preserve"> du quitus fiscal datant de moins de trois (3) mois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l’attestation de l’Inspection du travail et des lois sociales (ITLS) datant de moins de trois (3) mois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l’attestation de la Caisse nationale de sécurité sociale datant de moins de trois (3) mois ;</w:t>
      </w:r>
    </w:p>
    <w:p w:rsidR="003036DF" w:rsidRDefault="003036DF" w:rsidP="003036DF">
      <w:pPr>
        <w:numPr>
          <w:ilvl w:val="0"/>
          <w:numId w:val="3"/>
        </w:numPr>
        <w:spacing w:after="0" w:line="36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 w:rsidRPr="000B2305">
        <w:rPr>
          <w:rFonts w:asciiTheme="minorHAnsi" w:hAnsiTheme="minorHAnsi"/>
          <w:color w:val="000000"/>
          <w:sz w:val="24"/>
          <w:szCs w:val="24"/>
        </w:rPr>
        <w:t>L’original</w:t>
      </w:r>
      <w:r>
        <w:rPr>
          <w:rFonts w:asciiTheme="minorHAnsi" w:hAnsiTheme="minorHAnsi"/>
          <w:sz w:val="24"/>
          <w:szCs w:val="24"/>
        </w:rPr>
        <w:t xml:space="preserve"> de l’attestation de paiement de la taxe parafiscale de régulation.</w:t>
      </w:r>
    </w:p>
    <w:p w:rsidR="003036DF" w:rsidRPr="000B2305" w:rsidRDefault="003036DF" w:rsidP="003036DF">
      <w:pPr>
        <w:pStyle w:val="Paragraphedeliste"/>
        <w:numPr>
          <w:ilvl w:val="0"/>
          <w:numId w:val="4"/>
        </w:numPr>
        <w:spacing w:after="0"/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0B2305">
        <w:rPr>
          <w:rFonts w:asciiTheme="minorHAnsi" w:hAnsiTheme="minorHAnsi"/>
          <w:b/>
          <w:sz w:val="24"/>
          <w:szCs w:val="24"/>
        </w:rPr>
        <w:t>Pour les entreprises étrangères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l’extrait du registre du commerce et du crédit mobilier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Copie légalisée de l’attestation de non faillite datant de moins de trois (3) mois ;</w:t>
      </w:r>
    </w:p>
    <w:p w:rsidR="003036DF" w:rsidRDefault="003036DF" w:rsidP="003036DF">
      <w:pPr>
        <w:numPr>
          <w:ilvl w:val="0"/>
          <w:numId w:val="3"/>
        </w:numPr>
        <w:spacing w:after="0" w:line="240" w:lineRule="auto"/>
        <w:ind w:left="426" w:hanging="131"/>
        <w:jc w:val="both"/>
        <w:rPr>
          <w:rFonts w:asciiTheme="minorHAnsi" w:hAnsiTheme="minorHAnsi"/>
          <w:sz w:val="24"/>
          <w:szCs w:val="24"/>
        </w:rPr>
      </w:pPr>
      <w:r w:rsidRPr="000B2305">
        <w:rPr>
          <w:rFonts w:asciiTheme="minorHAnsi" w:hAnsiTheme="minorHAnsi"/>
          <w:color w:val="000000"/>
          <w:sz w:val="24"/>
          <w:szCs w:val="24"/>
        </w:rPr>
        <w:t>L’original</w:t>
      </w:r>
      <w:r>
        <w:rPr>
          <w:rFonts w:asciiTheme="minorHAnsi" w:hAnsiTheme="minorHAnsi"/>
          <w:sz w:val="24"/>
          <w:szCs w:val="24"/>
        </w:rPr>
        <w:t xml:space="preserve"> de l’attestation de paiement de la taxe parafiscale de régulation.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C83B3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83B3C">
        <w:rPr>
          <w:rFonts w:asciiTheme="minorHAnsi" w:hAnsiTheme="minorHAnsi"/>
          <w:sz w:val="24"/>
          <w:szCs w:val="24"/>
        </w:rPr>
        <w:t xml:space="preserve">Les candidats intéressés peuvent obtenir des informations supplémentaires au sujet des documents de référence à l’adresse </w:t>
      </w:r>
      <w:r w:rsidRPr="00C83B3C">
        <w:rPr>
          <w:rFonts w:asciiTheme="minorHAnsi" w:hAnsiTheme="minorHAnsi"/>
          <w:color w:val="000000"/>
          <w:sz w:val="24"/>
          <w:szCs w:val="24"/>
        </w:rPr>
        <w:t>indiquée ci-dessous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D44ACD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83B3C">
        <w:rPr>
          <w:rFonts w:asciiTheme="minorHAnsi" w:hAnsiTheme="minorHAnsi"/>
          <w:color w:val="000000"/>
          <w:sz w:val="24"/>
          <w:szCs w:val="24"/>
        </w:rPr>
        <w:t xml:space="preserve">Pour le </w:t>
      </w:r>
      <w:r w:rsidRPr="00C83B3C">
        <w:rPr>
          <w:rFonts w:asciiTheme="minorHAnsi" w:hAnsiTheme="minorHAnsi"/>
          <w:sz w:val="24"/>
          <w:szCs w:val="24"/>
        </w:rPr>
        <w:t>dépôt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 xml:space="preserve">les plis sont reçus </w:t>
      </w:r>
      <w:r w:rsidRPr="00C83B3C">
        <w:rPr>
          <w:rFonts w:asciiTheme="minorHAnsi" w:hAnsiTheme="minorHAnsi"/>
          <w:color w:val="000000"/>
          <w:sz w:val="24"/>
          <w:szCs w:val="24"/>
        </w:rPr>
        <w:t>aux heures de service suivantes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3036DF" w:rsidRPr="00C83B3C" w:rsidRDefault="003036DF" w:rsidP="003036DF">
      <w:pPr>
        <w:spacing w:after="0"/>
        <w:ind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 w:rsidRPr="00C83B3C">
        <w:rPr>
          <w:rFonts w:asciiTheme="minorHAnsi" w:hAnsiTheme="minorHAnsi"/>
          <w:color w:val="000000"/>
          <w:sz w:val="24"/>
          <w:szCs w:val="24"/>
        </w:rPr>
        <w:t>du</w:t>
      </w:r>
      <w:proofErr w:type="gramEnd"/>
      <w:r w:rsidRPr="00C83B3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lundi au vendredi de 8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h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00 à 12 h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00 et de 15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h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00 à 17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h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 xml:space="preserve">00 (GMT). </w:t>
      </w:r>
    </w:p>
    <w:p w:rsidR="003036DF" w:rsidRPr="00557E1E" w:rsidRDefault="003036DF" w:rsidP="003036DF">
      <w:pPr>
        <w:pStyle w:val="Sansinterligne"/>
        <w:rPr>
          <w:sz w:val="10"/>
          <w:szCs w:val="16"/>
        </w:rPr>
      </w:pPr>
    </w:p>
    <w:p w:rsidR="003036DF" w:rsidRPr="00397F9C" w:rsidRDefault="003036DF" w:rsidP="003036D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manifestations </w:t>
      </w:r>
      <w:r w:rsidRPr="00397F9C">
        <w:rPr>
          <w:rFonts w:asciiTheme="minorHAnsi" w:hAnsiTheme="minorHAnsi"/>
          <w:color w:val="000000"/>
          <w:sz w:val="24"/>
          <w:szCs w:val="24"/>
        </w:rPr>
        <w:t>d’intérêt</w:t>
      </w:r>
      <w:r w:rsidRPr="00397F9C">
        <w:rPr>
          <w:rFonts w:asciiTheme="minorHAnsi" w:hAnsiTheme="minorHAnsi"/>
          <w:sz w:val="24"/>
          <w:szCs w:val="24"/>
        </w:rPr>
        <w:t xml:space="preserve"> doivent être déposées en personne ou par courrier physique au plus tard le</w:t>
      </w:r>
      <w:r>
        <w:rPr>
          <w:rFonts w:asciiTheme="minorHAnsi" w:hAnsiTheme="minorHAnsi"/>
          <w:sz w:val="24"/>
          <w:szCs w:val="24"/>
        </w:rPr>
        <w:t xml:space="preserve"> jeudi</w:t>
      </w:r>
      <w:r w:rsidRPr="00397F9C">
        <w:rPr>
          <w:rFonts w:asciiTheme="minorHAnsi" w:hAnsiTheme="minorHAnsi"/>
          <w:sz w:val="24"/>
          <w:szCs w:val="24"/>
        </w:rPr>
        <w:t xml:space="preserve"> </w:t>
      </w:r>
      <w:r w:rsidR="009C0B56">
        <w:rPr>
          <w:rFonts w:asciiTheme="minorHAnsi" w:hAnsiTheme="minorHAnsi"/>
          <w:b/>
          <w:sz w:val="24"/>
          <w:szCs w:val="24"/>
        </w:rPr>
        <w:t>1</w:t>
      </w:r>
      <w:r w:rsidR="00056AF7">
        <w:rPr>
          <w:rFonts w:asciiTheme="minorHAnsi" w:hAnsiTheme="minorHAnsi"/>
          <w:b/>
          <w:sz w:val="24"/>
          <w:szCs w:val="24"/>
        </w:rPr>
        <w:t>5</w:t>
      </w:r>
      <w:bookmarkStart w:id="0" w:name="_GoBack"/>
      <w:bookmarkEnd w:id="0"/>
      <w:r w:rsidR="009C0B56">
        <w:rPr>
          <w:rFonts w:asciiTheme="minorHAnsi" w:hAnsiTheme="minorHAnsi"/>
          <w:b/>
          <w:sz w:val="24"/>
          <w:szCs w:val="24"/>
        </w:rPr>
        <w:t xml:space="preserve"> septembre</w:t>
      </w:r>
      <w:r w:rsidRPr="00466F86">
        <w:rPr>
          <w:rFonts w:asciiTheme="minorHAnsi" w:hAnsiTheme="minorHAnsi"/>
          <w:b/>
          <w:sz w:val="24"/>
          <w:szCs w:val="24"/>
        </w:rPr>
        <w:t xml:space="preserve"> 201</w:t>
      </w:r>
      <w:r w:rsidR="009C0B56">
        <w:rPr>
          <w:rFonts w:asciiTheme="minorHAnsi" w:hAnsiTheme="minorHAnsi"/>
          <w:b/>
          <w:sz w:val="24"/>
          <w:szCs w:val="24"/>
        </w:rPr>
        <w:t>6</w:t>
      </w:r>
      <w:r w:rsidRPr="00466F86">
        <w:rPr>
          <w:rFonts w:asciiTheme="minorHAnsi" w:hAnsiTheme="minorHAnsi"/>
          <w:b/>
          <w:sz w:val="24"/>
          <w:szCs w:val="24"/>
        </w:rPr>
        <w:t xml:space="preserve"> à 17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66F86">
        <w:rPr>
          <w:rFonts w:asciiTheme="minorHAnsi" w:hAnsiTheme="minorHAnsi"/>
          <w:b/>
          <w:sz w:val="24"/>
          <w:szCs w:val="24"/>
        </w:rPr>
        <w:t>h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66F86">
        <w:rPr>
          <w:rFonts w:asciiTheme="minorHAnsi" w:hAnsiTheme="minorHAnsi"/>
          <w:b/>
          <w:sz w:val="24"/>
          <w:szCs w:val="24"/>
        </w:rPr>
        <w:t xml:space="preserve">00 (GMT) </w:t>
      </w:r>
      <w:r w:rsidRPr="00397F9C">
        <w:rPr>
          <w:rFonts w:asciiTheme="minorHAnsi" w:hAnsiTheme="minorHAnsi"/>
          <w:sz w:val="24"/>
          <w:szCs w:val="24"/>
        </w:rPr>
        <w:t>à l’adresse ci-après</w:t>
      </w:r>
      <w:r>
        <w:rPr>
          <w:rFonts w:asciiTheme="minorHAnsi" w:hAnsiTheme="minorHAnsi"/>
          <w:sz w:val="24"/>
          <w:szCs w:val="24"/>
        </w:rPr>
        <w:t> :</w:t>
      </w:r>
    </w:p>
    <w:p w:rsidR="003036DF" w:rsidRPr="00557E1E" w:rsidRDefault="003036DF" w:rsidP="003036DF">
      <w:pPr>
        <w:pStyle w:val="Sansinterligne"/>
        <w:rPr>
          <w:sz w:val="10"/>
        </w:rPr>
      </w:pPr>
    </w:p>
    <w:p w:rsidR="009C0B56" w:rsidRDefault="009C0B56" w:rsidP="003036DF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Manifestation d’intérêt pour l’élaboration du rapport ITIE-Togo 2015</w:t>
      </w:r>
    </w:p>
    <w:p w:rsidR="003036DF" w:rsidRDefault="003036DF" w:rsidP="003036DF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397F9C">
        <w:rPr>
          <w:rFonts w:asciiTheme="minorHAnsi" w:hAnsiTheme="minorHAnsi"/>
          <w:b/>
          <w:bCs/>
          <w:sz w:val="24"/>
          <w:szCs w:val="24"/>
        </w:rPr>
        <w:t>Personne Responsable des Marchés Publics</w:t>
      </w:r>
      <w:r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Secrétariat technique de l’</w:t>
      </w:r>
      <w:r w:rsidRPr="00C83B3C">
        <w:rPr>
          <w:rFonts w:asciiTheme="minorHAnsi" w:hAnsiTheme="minorHAnsi"/>
          <w:b/>
          <w:bCs/>
          <w:sz w:val="24"/>
          <w:szCs w:val="24"/>
        </w:rPr>
        <w:t>ITIE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-Togo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</w:p>
    <w:p w:rsidR="003036DF" w:rsidRDefault="003036DF" w:rsidP="003036DF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83B3C">
        <w:rPr>
          <w:rFonts w:asciiTheme="minorHAnsi" w:hAnsiTheme="minorHAnsi"/>
          <w:b/>
          <w:bCs/>
          <w:sz w:val="24"/>
          <w:szCs w:val="24"/>
        </w:rPr>
        <w:t>4412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 xml:space="preserve"> Bd </w:t>
      </w:r>
      <w:r>
        <w:rPr>
          <w:rFonts w:asciiTheme="minorHAnsi" w:hAnsiTheme="minorHAnsi"/>
          <w:b/>
          <w:color w:val="000000"/>
          <w:sz w:val="24"/>
          <w:szCs w:val="24"/>
        </w:rPr>
        <w:t>saint Jean-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>Paul II</w:t>
      </w:r>
      <w:r>
        <w:rPr>
          <w:rFonts w:asciiTheme="minorHAnsi" w:hAnsiTheme="minorHAnsi"/>
          <w:b/>
          <w:color w:val="000000"/>
          <w:sz w:val="24"/>
          <w:szCs w:val="24"/>
        </w:rPr>
        <w:t>, 08 B.P. 8288</w:t>
      </w:r>
      <w:r w:rsidRPr="00C83B3C">
        <w:rPr>
          <w:rFonts w:asciiTheme="minorHAnsi" w:hAnsiTheme="minorHAnsi"/>
          <w:b/>
          <w:color w:val="000000"/>
          <w:sz w:val="24"/>
          <w:szCs w:val="24"/>
        </w:rPr>
        <w:t xml:space="preserve"> Lomé-Togo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</w:p>
    <w:p w:rsidR="003036DF" w:rsidRPr="00C83B3C" w:rsidRDefault="003036DF" w:rsidP="003036DF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Tél : (+228) 2226 8990/2242 0882</w:t>
      </w:r>
    </w:p>
    <w:p w:rsidR="003036DF" w:rsidRPr="00466F86" w:rsidRDefault="003036DF" w:rsidP="003036DF">
      <w:pPr>
        <w:spacing w:after="0"/>
        <w:jc w:val="both"/>
        <w:rPr>
          <w:sz w:val="6"/>
        </w:rPr>
      </w:pPr>
      <w:r w:rsidRPr="00046596">
        <w:rPr>
          <w:b/>
          <w:sz w:val="24"/>
        </w:rPr>
        <w:t>Site Internet</w:t>
      </w:r>
      <w:r>
        <w:rPr>
          <w:b/>
          <w:sz w:val="24"/>
        </w:rPr>
        <w:t> :</w:t>
      </w:r>
      <w:r w:rsidRPr="007C21A8">
        <w:rPr>
          <w:sz w:val="24"/>
        </w:rPr>
        <w:tab/>
      </w:r>
      <w:hyperlink r:id="rId8" w:history="1">
        <w:r w:rsidRPr="00C83B3C">
          <w:rPr>
            <w:rStyle w:val="Lienhypertexte"/>
            <w:rFonts w:asciiTheme="minorHAnsi" w:hAnsiTheme="minorHAnsi"/>
            <w:b/>
            <w:sz w:val="24"/>
            <w:szCs w:val="24"/>
          </w:rPr>
          <w:t>www.itietogo.org</w:t>
        </w:r>
      </w:hyperlink>
    </w:p>
    <w:p w:rsidR="003036DF" w:rsidRPr="000B2305" w:rsidRDefault="003036DF" w:rsidP="003036DF">
      <w:pPr>
        <w:pStyle w:val="Sansinterligne"/>
        <w:rPr>
          <w:sz w:val="2"/>
        </w:rPr>
      </w:pPr>
    </w:p>
    <w:p w:rsidR="003036DF" w:rsidRPr="00A57FEF" w:rsidRDefault="003036DF" w:rsidP="003036DF">
      <w:pPr>
        <w:spacing w:after="0" w:line="240" w:lineRule="auto"/>
        <w:ind w:left="4956" w:firstLine="708"/>
        <w:jc w:val="both"/>
        <w:rPr>
          <w:rFonts w:cs="Calibri"/>
          <w:b/>
          <w:sz w:val="24"/>
          <w:szCs w:val="28"/>
        </w:rPr>
      </w:pPr>
      <w:r w:rsidRPr="00A57FEF">
        <w:rPr>
          <w:rFonts w:cs="Calibri"/>
          <w:b/>
          <w:sz w:val="24"/>
          <w:szCs w:val="28"/>
        </w:rPr>
        <w:t xml:space="preserve">Fait à Lomé, le </w:t>
      </w:r>
      <w:r w:rsidR="00056AF7">
        <w:rPr>
          <w:rFonts w:cs="Calibri"/>
          <w:b/>
          <w:sz w:val="24"/>
          <w:szCs w:val="28"/>
        </w:rPr>
        <w:t>1</w:t>
      </w:r>
      <w:r w:rsidR="00056AF7" w:rsidRPr="00056AF7">
        <w:rPr>
          <w:rFonts w:cs="Calibri"/>
          <w:b/>
          <w:sz w:val="24"/>
          <w:szCs w:val="28"/>
          <w:vertAlign w:val="superscript"/>
        </w:rPr>
        <w:t>er</w:t>
      </w:r>
      <w:r w:rsidR="00056AF7">
        <w:rPr>
          <w:rFonts w:cs="Calibri"/>
          <w:b/>
          <w:sz w:val="24"/>
          <w:szCs w:val="28"/>
        </w:rPr>
        <w:t xml:space="preserve"> août </w:t>
      </w:r>
      <w:r>
        <w:rPr>
          <w:rFonts w:cs="Calibri"/>
          <w:b/>
          <w:sz w:val="24"/>
          <w:szCs w:val="28"/>
        </w:rPr>
        <w:t>201</w:t>
      </w:r>
      <w:r w:rsidR="009C0B56">
        <w:rPr>
          <w:rFonts w:cs="Calibri"/>
          <w:b/>
          <w:sz w:val="24"/>
          <w:szCs w:val="28"/>
        </w:rPr>
        <w:t>6</w:t>
      </w:r>
    </w:p>
    <w:p w:rsidR="003036DF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6"/>
          <w:szCs w:val="28"/>
        </w:rPr>
      </w:pPr>
    </w:p>
    <w:p w:rsidR="003036DF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6"/>
          <w:szCs w:val="28"/>
        </w:rPr>
      </w:pPr>
    </w:p>
    <w:p w:rsidR="003036DF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6"/>
          <w:szCs w:val="28"/>
        </w:rPr>
      </w:pPr>
    </w:p>
    <w:p w:rsidR="003036DF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6"/>
          <w:szCs w:val="28"/>
        </w:rPr>
      </w:pPr>
    </w:p>
    <w:p w:rsidR="003036DF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6"/>
          <w:szCs w:val="28"/>
        </w:rPr>
      </w:pPr>
    </w:p>
    <w:p w:rsidR="003036DF" w:rsidRPr="00FB1FEB" w:rsidRDefault="003036DF" w:rsidP="003036DF">
      <w:pPr>
        <w:spacing w:after="0" w:line="240" w:lineRule="auto"/>
        <w:ind w:left="3540" w:firstLine="708"/>
        <w:jc w:val="both"/>
        <w:rPr>
          <w:rFonts w:cs="Calibri"/>
          <w:sz w:val="10"/>
          <w:szCs w:val="28"/>
        </w:rPr>
      </w:pPr>
    </w:p>
    <w:p w:rsidR="003036DF" w:rsidRPr="00A57FEF" w:rsidRDefault="003036DF" w:rsidP="003036DF">
      <w:pPr>
        <w:spacing w:after="0" w:line="240" w:lineRule="auto"/>
        <w:ind w:left="4956" w:firstLine="708"/>
        <w:rPr>
          <w:rFonts w:cs="Calibri"/>
          <w:i/>
          <w:sz w:val="25"/>
          <w:szCs w:val="25"/>
        </w:rPr>
      </w:pPr>
      <w:r w:rsidRPr="00A57FEF">
        <w:rPr>
          <w:rFonts w:cs="Calibri"/>
          <w:i/>
          <w:sz w:val="25"/>
          <w:szCs w:val="25"/>
        </w:rPr>
        <w:t xml:space="preserve">Mensah </w:t>
      </w:r>
      <w:proofErr w:type="spellStart"/>
      <w:r w:rsidRPr="00A57FEF">
        <w:rPr>
          <w:rFonts w:cs="Calibri"/>
          <w:i/>
          <w:sz w:val="25"/>
          <w:szCs w:val="25"/>
        </w:rPr>
        <w:t>Kwami</w:t>
      </w:r>
      <w:proofErr w:type="spellEnd"/>
      <w:r w:rsidRPr="00A57FEF">
        <w:rPr>
          <w:rFonts w:cs="Calibri"/>
          <w:i/>
          <w:sz w:val="25"/>
          <w:szCs w:val="25"/>
        </w:rPr>
        <w:t xml:space="preserve"> </w:t>
      </w:r>
      <w:proofErr w:type="spellStart"/>
      <w:r w:rsidRPr="00A57FEF">
        <w:rPr>
          <w:rFonts w:cs="Calibri"/>
          <w:i/>
          <w:sz w:val="25"/>
          <w:szCs w:val="25"/>
        </w:rPr>
        <w:t>Kumah</w:t>
      </w:r>
      <w:proofErr w:type="spellEnd"/>
      <w:r w:rsidRPr="00A57FEF">
        <w:rPr>
          <w:rFonts w:cs="Calibri"/>
          <w:i/>
          <w:sz w:val="25"/>
          <w:szCs w:val="25"/>
        </w:rPr>
        <w:t xml:space="preserve"> DZIVENOU</w:t>
      </w:r>
    </w:p>
    <w:p w:rsidR="003036DF" w:rsidRPr="00A57FEF" w:rsidRDefault="003036DF" w:rsidP="003036DF">
      <w:pPr>
        <w:spacing w:after="0" w:line="240" w:lineRule="auto"/>
        <w:ind w:left="4956" w:firstLine="708"/>
        <w:rPr>
          <w:rFonts w:cs="Calibri"/>
          <w:b/>
          <w:sz w:val="19"/>
          <w:szCs w:val="19"/>
          <w:u w:val="single"/>
        </w:rPr>
      </w:pPr>
      <w:r w:rsidRPr="00A57FEF">
        <w:rPr>
          <w:rFonts w:cs="Calibri"/>
          <w:b/>
          <w:sz w:val="19"/>
          <w:szCs w:val="19"/>
        </w:rPr>
        <w:t>Personne responsable des marchés publics</w:t>
      </w:r>
    </w:p>
    <w:p w:rsidR="003036DF" w:rsidRDefault="003036DF" w:rsidP="003036DF">
      <w:pPr>
        <w:pStyle w:val="Sansinterligne"/>
        <w:rPr>
          <w:sz w:val="18"/>
          <w:szCs w:val="26"/>
        </w:rPr>
      </w:pPr>
    </w:p>
    <w:p w:rsidR="003036DF" w:rsidRPr="00FB1FEB" w:rsidRDefault="003036DF" w:rsidP="003036DF">
      <w:pPr>
        <w:pStyle w:val="Sansinterligne"/>
        <w:rPr>
          <w:sz w:val="16"/>
          <w:szCs w:val="26"/>
        </w:rPr>
      </w:pPr>
    </w:p>
    <w:p w:rsidR="003036DF" w:rsidRPr="00CB6C71" w:rsidRDefault="003036DF" w:rsidP="003036DF">
      <w:pPr>
        <w:pStyle w:val="Sansinterligne"/>
        <w:jc w:val="center"/>
        <w:rPr>
          <w:sz w:val="2"/>
        </w:rPr>
      </w:pP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6DF" w:rsidRDefault="003036DF" w:rsidP="003036DF">
      <w:pPr>
        <w:pStyle w:val="Sansinterligne"/>
        <w:jc w:val="center"/>
        <w:rPr>
          <w:sz w:val="16"/>
          <w:szCs w:val="18"/>
        </w:rPr>
      </w:pPr>
      <w:r>
        <w:rPr>
          <w:sz w:val="16"/>
          <w:szCs w:val="18"/>
        </w:rPr>
        <w:t>INITIATIVE POUR LA TRANSPARENCE DANS LES INDUSTRIES EXTRACTIVES (</w:t>
      </w:r>
      <w:r w:rsidRPr="007C34F5">
        <w:rPr>
          <w:sz w:val="16"/>
          <w:szCs w:val="18"/>
        </w:rPr>
        <w:t>ITIE-TOGO</w:t>
      </w:r>
      <w:r>
        <w:rPr>
          <w:sz w:val="16"/>
          <w:szCs w:val="18"/>
        </w:rPr>
        <w:t>)</w:t>
      </w:r>
      <w:r w:rsidRPr="007C34F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- </w:t>
      </w:r>
      <w:r w:rsidRPr="007C34F5">
        <w:rPr>
          <w:sz w:val="16"/>
          <w:szCs w:val="18"/>
        </w:rPr>
        <w:t xml:space="preserve">SECRETARIAT TECHNIQUE– 4412, Boulevard </w:t>
      </w:r>
    </w:p>
    <w:p w:rsidR="003036DF" w:rsidRPr="007C34F5" w:rsidRDefault="003036DF" w:rsidP="003036DF">
      <w:pPr>
        <w:pStyle w:val="Sansinterligne"/>
        <w:jc w:val="center"/>
        <w:rPr>
          <w:sz w:val="20"/>
        </w:rPr>
      </w:pPr>
      <w:r>
        <w:rPr>
          <w:sz w:val="16"/>
          <w:szCs w:val="18"/>
        </w:rPr>
        <w:t xml:space="preserve">Saint </w:t>
      </w:r>
      <w:r w:rsidRPr="007C34F5">
        <w:rPr>
          <w:sz w:val="16"/>
          <w:szCs w:val="18"/>
        </w:rPr>
        <w:t xml:space="preserve">Jean-Paul II –08 BP 8288– Téléphone (228) 2226 8990 </w:t>
      </w:r>
      <w:r>
        <w:rPr>
          <w:sz w:val="16"/>
          <w:szCs w:val="18"/>
        </w:rPr>
        <w:t>–</w:t>
      </w:r>
      <w:proofErr w:type="spellStart"/>
      <w:r w:rsidRPr="007C34F5">
        <w:rPr>
          <w:sz w:val="16"/>
          <w:szCs w:val="18"/>
          <w:lang w:val="de-DE"/>
        </w:rPr>
        <w:t>Courriel</w:t>
      </w:r>
      <w:proofErr w:type="spellEnd"/>
      <w:r w:rsidRPr="007C34F5">
        <w:rPr>
          <w:sz w:val="16"/>
          <w:szCs w:val="18"/>
          <w:lang w:val="de-DE"/>
        </w:rPr>
        <w:t xml:space="preserve"> </w:t>
      </w:r>
      <w:hyperlink r:id="rId9" w:history="1">
        <w:r w:rsidRPr="002B1C8F">
          <w:rPr>
            <w:rStyle w:val="Lienhypertexte"/>
            <w:sz w:val="16"/>
            <w:szCs w:val="18"/>
            <w:lang w:val="de-DE"/>
          </w:rPr>
          <w:t>itietogo@yahoo.fr</w:t>
        </w:r>
        <w:r w:rsidRPr="00273B1C">
          <w:rPr>
            <w:rStyle w:val="Lienhypertexte"/>
            <w:color w:val="auto"/>
            <w:sz w:val="16"/>
            <w:szCs w:val="18"/>
            <w:u w:val="none"/>
          </w:rPr>
          <w:t>–</w:t>
        </w:r>
      </w:hyperlink>
      <w:r>
        <w:rPr>
          <w:sz w:val="16"/>
          <w:szCs w:val="18"/>
        </w:rPr>
        <w:t xml:space="preserve">  Site Web </w:t>
      </w:r>
      <w:hyperlink r:id="rId10" w:history="1">
        <w:r w:rsidRPr="002B1C8F">
          <w:rPr>
            <w:rStyle w:val="Lienhypertexte"/>
            <w:sz w:val="16"/>
            <w:szCs w:val="18"/>
          </w:rPr>
          <w:t>www.itietogo.org</w:t>
        </w:r>
      </w:hyperlink>
    </w:p>
    <w:sectPr w:rsidR="003036DF" w:rsidRPr="007C34F5" w:rsidSect="00557E1E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0AD"/>
    <w:multiLevelType w:val="hybridMultilevel"/>
    <w:tmpl w:val="BEEC1F76"/>
    <w:lvl w:ilvl="0" w:tplc="2B1890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C2D"/>
    <w:multiLevelType w:val="hybridMultilevel"/>
    <w:tmpl w:val="45448CC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C7D6C"/>
    <w:multiLevelType w:val="hybridMultilevel"/>
    <w:tmpl w:val="B524BA6A"/>
    <w:lvl w:ilvl="0" w:tplc="C2A4BB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A60E9"/>
    <w:multiLevelType w:val="hybridMultilevel"/>
    <w:tmpl w:val="B75276D2"/>
    <w:lvl w:ilvl="0" w:tplc="B9D816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F"/>
    <w:rsid w:val="00056AF7"/>
    <w:rsid w:val="002714A9"/>
    <w:rsid w:val="003036DF"/>
    <w:rsid w:val="00763B57"/>
    <w:rsid w:val="009C0B56"/>
    <w:rsid w:val="00C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F8F41A9-ED8F-4056-B9E5-224D5BC2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36D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036DF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36D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036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B56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Policepardfaut"/>
    <w:uiPriority w:val="99"/>
    <w:rsid w:val="00056AF7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etogo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ieto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ietogo@yahoo.fr&#8211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2016-07-29T16:48:00Z</cp:lastPrinted>
  <dcterms:created xsi:type="dcterms:W3CDTF">2016-07-22T13:48:00Z</dcterms:created>
  <dcterms:modified xsi:type="dcterms:W3CDTF">2016-07-29T16:49:00Z</dcterms:modified>
</cp:coreProperties>
</file>